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roofErr w:type="gramEnd"/>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 xml:space="preserve">Contractor IP is the sole property of Contractor (or its licensor) and Contractor (or its licensor) </w:t>
      </w:r>
      <w:proofErr w:type="gramStart"/>
      <w:r w:rsidR="00A90F61" w:rsidRPr="00A47C8C">
        <w:rPr>
          <w:rFonts w:ascii="Arial" w:hAnsi="Arial" w:cs="Arial"/>
          <w:spacing w:val="-3"/>
          <w:sz w:val="20"/>
        </w:rPr>
        <w:t>will at all times retain</w:t>
      </w:r>
      <w:proofErr w:type="gramEnd"/>
      <w:r w:rsidR="00A90F61" w:rsidRPr="00A47C8C">
        <w:rPr>
          <w:rFonts w:ascii="Arial" w:hAnsi="Arial" w:cs="Arial"/>
          <w:spacing w:val="-3"/>
          <w:sz w:val="20"/>
        </w:rPr>
        <w:t xml:space="preserve">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proofErr w:type="gramStart"/>
      <w:r w:rsidR="00A90F61" w:rsidRPr="00A47C8C">
        <w:rPr>
          <w:rFonts w:ascii="Arial" w:hAnsi="Arial" w:cs="Arial"/>
          <w:spacing w:val="-3"/>
          <w:sz w:val="20"/>
        </w:rPr>
        <w:t>“</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roofErr w:type="gramEnd"/>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w:t>
      </w:r>
      <w:r w:rsidRPr="007A54A3">
        <w:rPr>
          <w:rFonts w:ascii="Arial" w:hAnsi="Arial" w:cs="Arial"/>
          <w:b/>
          <w:bCs/>
          <w:sz w:val="20"/>
          <w:highlight w:val="yellow"/>
        </w:rPr>
        <w:lastRenderedPageBreak/>
        <w:t xml:space="preserve">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roofErr w:type="gramEnd"/>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lastRenderedPageBreak/>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w:t>
      </w:r>
      <w:proofErr w:type="gramStart"/>
      <w:r w:rsidRPr="00E17CAA">
        <w:rPr>
          <w:rFonts w:ascii="Arial" w:hAnsi="Arial" w:cs="Arial"/>
          <w:sz w:val="20"/>
        </w:rPr>
        <w:t>be performed</w:t>
      </w:r>
      <w:proofErr w:type="gramEnd"/>
      <w:r w:rsidRPr="00E17CAA">
        <w:rPr>
          <w:rFonts w:ascii="Arial" w:hAnsi="Arial" w:cs="Arial"/>
          <w:sz w:val="20"/>
        </w:rPr>
        <w:t xml:space="preserve">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w:t>
      </w:r>
      <w:proofErr w:type="gramStart"/>
      <w:r w:rsidRPr="00E17CAA">
        <w:rPr>
          <w:rFonts w:ascii="Arial" w:hAnsi="Arial" w:cs="Arial"/>
          <w:sz w:val="20"/>
        </w:rPr>
        <w:t>is used</w:t>
      </w:r>
      <w:proofErr w:type="gramEnd"/>
      <w:r w:rsidRPr="00E17CAA">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E17CAA">
        <w:rPr>
          <w:rFonts w:ascii="Arial" w:hAnsi="Arial" w:cs="Arial"/>
          <w:sz w:val="20"/>
        </w:rPr>
        <w:t>waters which</w:t>
      </w:r>
      <w:proofErr w:type="gramEnd"/>
      <w:r w:rsidRPr="00E17CAA">
        <w:rPr>
          <w:rFonts w:ascii="Arial" w:hAnsi="Arial" w:cs="Arial"/>
          <w:sz w:val="20"/>
        </w:rPr>
        <w:t xml:space="preserve">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t>
      </w:r>
      <w:proofErr w:type="gramStart"/>
      <w:r w:rsidRPr="002701F2">
        <w:rPr>
          <w:rFonts w:ascii="Arial" w:hAnsi="Arial" w:cs="Arial"/>
          <w:sz w:val="20"/>
        </w:rPr>
        <w:t>will be issued</w:t>
      </w:r>
      <w:proofErr w:type="gramEnd"/>
      <w:r w:rsidRPr="002701F2">
        <w:rPr>
          <w:rFonts w:ascii="Arial" w:hAnsi="Arial" w:cs="Arial"/>
          <w:sz w:val="20"/>
        </w:rPr>
        <w:t xml:space="preserve">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w:t>
      </w:r>
      <w:proofErr w:type="gramStart"/>
      <w:r w:rsidRPr="009674ED">
        <w:rPr>
          <w:rFonts w:ascii="Arial" w:hAnsi="Arial" w:cs="Arial"/>
          <w:sz w:val="20"/>
        </w:rPr>
        <w:t>may be endorsed</w:t>
      </w:r>
      <w:proofErr w:type="gramEnd"/>
      <w:r w:rsidRPr="009674ED">
        <w:rPr>
          <w:rFonts w:ascii="Arial" w:hAnsi="Arial" w:cs="Arial"/>
          <w:sz w:val="20"/>
        </w:rPr>
        <w:t xml:space="preserve">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xml:space="preserve">. Inception and expiration dates will be the same as the underlying policies. Drop down coverage </w:t>
      </w:r>
      <w:proofErr w:type="gramStart"/>
      <w:r w:rsidRPr="00E17CAA">
        <w:rPr>
          <w:rFonts w:ascii="Arial" w:hAnsi="Arial" w:cs="Arial"/>
          <w:sz w:val="20"/>
        </w:rPr>
        <w:t>will be provided</w:t>
      </w:r>
      <w:proofErr w:type="gramEnd"/>
      <w:r w:rsidRPr="00E17CAA">
        <w:rPr>
          <w:rFonts w:ascii="Arial" w:hAnsi="Arial" w:cs="Arial"/>
          <w:sz w:val="20"/>
        </w:rPr>
        <w:t xml:space="preserve">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 xml:space="preserve">Liquor Liability Insurance, with limits of not less than $1,000,000 per occurrence, $2,000,000 aggregate for bodily injury and property damage arising from selling, serving or furnishing of any alcoholic beverage by Contractor or </w:t>
      </w:r>
      <w:r w:rsidRPr="00E17CAA">
        <w:rPr>
          <w:rFonts w:ascii="Arial" w:hAnsi="Arial" w:cs="Arial"/>
          <w:color w:val="000000"/>
          <w:sz w:val="20"/>
        </w:rPr>
        <w:lastRenderedPageBreak/>
        <w:t>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E17CAA">
        <w:rPr>
          <w:rFonts w:ascii="Arial" w:hAnsi="Arial" w:cs="Arial"/>
          <w:sz w:val="20"/>
        </w:rPr>
        <w:t>is written</w:t>
      </w:r>
      <w:proofErr w:type="gramEnd"/>
      <w:r w:rsidRPr="00E17CAA">
        <w:rPr>
          <w:rFonts w:ascii="Arial" w:hAnsi="Arial" w:cs="Arial"/>
          <w:sz w:val="20"/>
        </w:rPr>
        <w:t xml:space="preserve">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 xml:space="preserve">per claim. If Contractor has property of University in its care, custody or control away from University’s premises, Contractor will provide </w:t>
      </w:r>
      <w:proofErr w:type="spellStart"/>
      <w:r w:rsidRPr="00E17CAA">
        <w:rPr>
          <w:rFonts w:ascii="Arial" w:hAnsi="Arial" w:cs="Arial"/>
          <w:sz w:val="20"/>
        </w:rPr>
        <w:t>bailee</w:t>
      </w:r>
      <w:proofErr w:type="spellEnd"/>
      <w:r w:rsidRPr="00E17CAA">
        <w:rPr>
          <w:rFonts w:ascii="Arial" w:hAnsi="Arial" w:cs="Arial"/>
          <w:sz w:val="20"/>
        </w:rPr>
        <w:t xml:space="preserv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lastRenderedPageBreak/>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proofErr w:type="gramStart"/>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w:t>
      </w:r>
      <w:proofErr w:type="gramEnd"/>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proofErr w:type="gramStart"/>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roofErr w:type="gramEnd"/>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C72138" w:rsidRPr="00E17CAA">
        <w:rPr>
          <w:rFonts w:ascii="Arial" w:hAnsi="Arial" w:cs="Arial"/>
          <w:sz w:val="20"/>
        </w:rPr>
        <w:t xml:space="preserve"> Commercial General Liability Additional Insured endorsement including ongoing and completed operations coverage </w:t>
      </w:r>
      <w:proofErr w:type="gramStart"/>
      <w:r w:rsidR="00C72138" w:rsidRPr="00E17CAA">
        <w:rPr>
          <w:rFonts w:ascii="Arial" w:hAnsi="Arial" w:cs="Arial"/>
          <w:sz w:val="20"/>
        </w:rPr>
        <w:t>will be submitted</w:t>
      </w:r>
      <w:proofErr w:type="gramEnd"/>
      <w:r w:rsidR="00C72138" w:rsidRPr="00E17CAA">
        <w:rPr>
          <w:rFonts w:ascii="Arial" w:hAnsi="Arial" w:cs="Arial"/>
          <w:sz w:val="20"/>
        </w:rPr>
        <w:t xml:space="preserve"> with the Certificates of Insurance. Commercial General Liability and Business Auto Liability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proofErr w:type="gramStart"/>
      <w:r w:rsidR="00C72138" w:rsidRPr="00E17CAA">
        <w:rPr>
          <w:rFonts w:ascii="Arial" w:hAnsi="Arial" w:cs="Arial"/>
          <w:sz w:val="20"/>
        </w:rPr>
        <w:t>The</w:t>
      </w:r>
      <w:proofErr w:type="gramEnd"/>
      <w:r w:rsidR="00C72138" w:rsidRPr="00E17CAA">
        <w:rPr>
          <w:rFonts w:ascii="Arial" w:hAnsi="Arial" w:cs="Arial"/>
          <w:sz w:val="20"/>
        </w:rPr>
        <w:t xml:space="preserv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t>
      </w:r>
      <w:proofErr w:type="gramStart"/>
      <w:r w:rsidR="00C72138" w:rsidRPr="00E17CAA">
        <w:rPr>
          <w:rFonts w:ascii="Arial" w:hAnsi="Arial" w:cs="Arial"/>
          <w:sz w:val="20"/>
        </w:rPr>
        <w:t>will be canceled</w:t>
      </w:r>
      <w:proofErr w:type="gramEnd"/>
      <w:r w:rsidR="00C72138" w:rsidRPr="00E17CAA">
        <w:rPr>
          <w:rFonts w:ascii="Arial" w:hAnsi="Arial" w:cs="Arial"/>
          <w:sz w:val="20"/>
        </w:rPr>
        <w:t xml:space="preserve">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t>
      </w:r>
      <w:proofErr w:type="gramStart"/>
      <w:r w:rsidR="00C72138" w:rsidRPr="00E17CAA">
        <w:rPr>
          <w:rFonts w:ascii="Arial" w:hAnsi="Arial" w:cs="Arial"/>
          <w:spacing w:val="-3"/>
          <w:sz w:val="20"/>
        </w:rPr>
        <w:t>will be endorsed</w:t>
      </w:r>
      <w:proofErr w:type="gramEnd"/>
      <w:r w:rsidR="00C72138" w:rsidRPr="00E17CAA">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 xml:space="preserve">insured retention </w:t>
      </w:r>
      <w:proofErr w:type="gramStart"/>
      <w:r w:rsidR="00C72138" w:rsidRPr="00E17CAA">
        <w:rPr>
          <w:rFonts w:ascii="Arial" w:hAnsi="Arial" w:cs="Arial"/>
          <w:sz w:val="20"/>
        </w:rPr>
        <w:t>must be declared to and approved by University prior to the performance of any Work by Contractor under this Agreement</w:t>
      </w:r>
      <w:proofErr w:type="gramEnd"/>
      <w:r w:rsidR="00C72138" w:rsidRPr="00E17CAA">
        <w:rPr>
          <w:rFonts w:ascii="Arial" w:hAnsi="Arial" w:cs="Arial"/>
          <w:sz w:val="20"/>
        </w:rPr>
        <w:t xml:space="preserve">. All deductibles and self-insured retentions </w:t>
      </w:r>
      <w:proofErr w:type="gramStart"/>
      <w:r w:rsidR="00C72138" w:rsidRPr="00E17CAA">
        <w:rPr>
          <w:rFonts w:ascii="Arial" w:hAnsi="Arial" w:cs="Arial"/>
          <w:sz w:val="20"/>
        </w:rPr>
        <w:t>will be shown</w:t>
      </w:r>
      <w:proofErr w:type="gramEnd"/>
      <w:r w:rsidR="00C72138" w:rsidRPr="00E17CAA">
        <w:rPr>
          <w:rFonts w:ascii="Arial" w:hAnsi="Arial" w:cs="Arial"/>
          <w:sz w:val="20"/>
        </w:rPr>
        <w:t xml:space="preserve">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 xml:space="preserve">Certificates of Insurance and Additional Insured Endorsements as required by this Agreement </w:t>
      </w:r>
      <w:proofErr w:type="gramStart"/>
      <w:r w:rsidR="00C72138" w:rsidRPr="00E17CAA">
        <w:rPr>
          <w:rFonts w:ascii="Arial" w:hAnsi="Arial" w:cs="Arial"/>
          <w:sz w:val="20"/>
        </w:rPr>
        <w:t>will be mailed, faxed, or emailed to the following University contact</w:t>
      </w:r>
      <w:proofErr w:type="gramEnd"/>
      <w:r w:rsidR="00C72138" w:rsidRPr="00E17CAA">
        <w:rPr>
          <w:rFonts w:ascii="Arial" w:hAnsi="Arial" w:cs="Arial"/>
          <w:sz w:val="20"/>
        </w:rPr>
        <w: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1851 Crosspoint,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lastRenderedPageBreak/>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 xml:space="preserve">nd Security </w:t>
      </w:r>
      <w:r w:rsidR="00053E6D" w:rsidRPr="007A54A3">
        <w:rPr>
          <w:rFonts w:ascii="Arial" w:hAnsi="Arial" w:cs="Arial"/>
          <w:b/>
          <w:sz w:val="20"/>
          <w:highlight w:val="yellow"/>
        </w:rPr>
        <w:lastRenderedPageBreak/>
        <w:t>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proofErr w:type="gramStart"/>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proofErr w:type="gramEnd"/>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w:t>
      </w:r>
      <w:r w:rsidR="00580543" w:rsidRPr="007A54A3">
        <w:rPr>
          <w:rFonts w:ascii="Arial" w:hAnsi="Arial" w:cs="Arial"/>
          <w:sz w:val="20"/>
        </w:rPr>
        <w:lastRenderedPageBreak/>
        <w:t xml:space="preserve">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1851 Crosspoint</w:t>
      </w:r>
      <w:proofErr w:type="gramStart"/>
      <w:r w:rsidRPr="002616D7">
        <w:rPr>
          <w:rFonts w:ascii="Arial" w:hAnsi="Arial"/>
          <w:spacing w:val="-3"/>
          <w:sz w:val="20"/>
        </w:rPr>
        <w:t>,  OCB1.160</w:t>
      </w:r>
      <w:proofErr w:type="gramEnd"/>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 xml:space="preserve">Texas </w:t>
        </w:r>
        <w:r w:rsidR="00317063" w:rsidRPr="007A54A3">
          <w:rPr>
            <w:rStyle w:val="Hyperlink"/>
            <w:rFonts w:ascii="Arial" w:hAnsi="Arial" w:cs="Arial"/>
            <w:i/>
            <w:iCs/>
            <w:spacing w:val="-3"/>
            <w:sz w:val="20"/>
          </w:rPr>
          <w:lastRenderedPageBreak/>
          <w:t>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 xml:space="preserve">University relating to this Agreement constitutes </w:t>
      </w:r>
      <w:r w:rsidR="00F9759F" w:rsidRPr="007A54A3">
        <w:rPr>
          <w:rFonts w:ascii="Arial" w:hAnsi="Arial" w:cs="Arial"/>
          <w:sz w:val="20"/>
        </w:rPr>
        <w:lastRenderedPageBreak/>
        <w:t>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proofErr w:type="gramStart"/>
      <w:r w:rsidRPr="0027372C">
        <w:rPr>
          <w:rFonts w:ascii="Arial" w:hAnsi="Arial" w:cs="Arial"/>
          <w:b/>
          <w:bCs/>
          <w:sz w:val="20"/>
          <w:highlight w:val="cyan"/>
        </w:rPr>
        <w:lastRenderedPageBreak/>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 xml:space="preserve">and, after 12/31/2017, see Section 5 of HB 1295 amending Section 2252.908(c), </w:t>
      </w:r>
      <w:proofErr w:type="spellStart"/>
      <w:r>
        <w:rPr>
          <w:rFonts w:ascii="Arial" w:hAnsi="Arial" w:cs="Arial"/>
          <w:b/>
          <w:bCs/>
          <w:sz w:val="20"/>
          <w:highlight w:val="cyan"/>
        </w:rPr>
        <w:t>Gov</w:t>
      </w:r>
      <w:proofErr w:type="spellEnd"/>
      <w:r>
        <w:rPr>
          <w:rFonts w:ascii="Arial" w:hAnsi="Arial" w:cs="Arial"/>
          <w:b/>
          <w:bCs/>
          <w:sz w:val="20"/>
          <w:highlight w:val="cyan"/>
        </w:rPr>
        <w:t xml:space="preserve">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roofErr w:type="gramEnd"/>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w:t>
      </w:r>
      <w:r w:rsidR="005E552C" w:rsidRPr="007A54A3">
        <w:rPr>
          <w:rFonts w:ascii="Arial" w:hAnsi="Arial" w:cs="Arial"/>
          <w:bCs/>
          <w:sz w:val="20"/>
        </w:rPr>
        <w:lastRenderedPageBreak/>
        <w:t xml:space="preserve">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w:t>
      </w:r>
      <w:r w:rsidR="002D5B57" w:rsidRPr="001B2733">
        <w:rPr>
          <w:rFonts w:ascii="Arial" w:hAnsi="Arial" w:cs="Arial"/>
          <w:sz w:val="20"/>
        </w:rPr>
        <w:lastRenderedPageBreak/>
        <w:t xml:space="preserve">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 xml:space="preserve">prohibit discrimination against all individuals based on their race, color, religion, sex, or national origin.  Moreover, the regulations require that University and Contractor </w:t>
      </w:r>
      <w:r w:rsidRPr="00EB1223">
        <w:rPr>
          <w:rFonts w:ascii="Arial" w:hAnsi="Arial" w:cs="Arial"/>
          <w:smallCaps/>
          <w:spacing w:val="-3"/>
          <w:sz w:val="20"/>
        </w:rPr>
        <w:lastRenderedPageBreak/>
        <w:t>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w:t>
      </w:r>
      <w:r w:rsidR="00E16030" w:rsidRPr="007A54A3">
        <w:rPr>
          <w:rFonts w:ascii="Arial" w:hAnsi="Arial" w:cs="Arial"/>
          <w:sz w:val="20"/>
        </w:rPr>
        <w:lastRenderedPageBreak/>
        <w:t xml:space="preserve">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w:t>
      </w:r>
      <w:r w:rsidR="00B479FD" w:rsidRPr="007A54A3">
        <w:rPr>
          <w:rFonts w:ascii="Arial" w:hAnsi="Arial" w:cs="Arial"/>
          <w:sz w:val="20"/>
        </w:rPr>
        <w:lastRenderedPageBreak/>
        <w:t xml:space="preserve">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 xml:space="preserve">[Option: (Include if this Agreement </w:t>
      </w:r>
      <w:proofErr w:type="gramStart"/>
      <w:r w:rsidRPr="00FA13B0">
        <w:rPr>
          <w:rFonts w:ascii="Arial" w:hAnsi="Arial" w:cs="Arial"/>
          <w:b/>
          <w:spacing w:val="-3"/>
          <w:sz w:val="20"/>
          <w:highlight w:val="cyan"/>
        </w:rPr>
        <w:t>may be translated</w:t>
      </w:r>
      <w:proofErr w:type="gramEnd"/>
      <w:r w:rsidRPr="00FA13B0">
        <w:rPr>
          <w:rFonts w:ascii="Arial" w:hAnsi="Arial" w:cs="Arial"/>
          <w:b/>
          <w:spacing w:val="-3"/>
          <w:sz w:val="20"/>
          <w:highlight w:val="cyan"/>
        </w:rPr>
        <w:t xml:space="preserve">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proofErr w:type="gramStart"/>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w:t>
      </w:r>
      <w:proofErr w:type="gramEnd"/>
      <w:r w:rsidRPr="008A78C4">
        <w:rPr>
          <w:rFonts w:ascii="Arial" w:hAnsi="Arial" w:cs="Arial"/>
          <w:b/>
          <w:sz w:val="20"/>
          <w:highlight w:val="yellow"/>
        </w:rPr>
        <w:t xml:space="preserve">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proofErr w:type="gramStart"/>
      <w:r>
        <w:rPr>
          <w:rFonts w:ascii="Arial" w:eastAsia="Arial Unicode MS" w:hAnsi="Arial" w:cs="Arial"/>
          <w:sz w:val="20"/>
        </w:rPr>
        <w:t>12.45</w:t>
      </w:r>
      <w:proofErr w:type="gramEnd"/>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w:t>
      </w:r>
      <w:proofErr w:type="gramStart"/>
      <w:r>
        <w:rPr>
          <w:rFonts w:ascii="Arial" w:eastAsia="Arial Unicode MS" w:hAnsi="Arial" w:cs="Arial"/>
          <w:sz w:val="20"/>
        </w:rPr>
        <w:t>is defined</w:t>
      </w:r>
      <w:proofErr w:type="gramEnd"/>
      <w:r>
        <w:rPr>
          <w:rFonts w:ascii="Arial" w:eastAsia="Arial Unicode MS" w:hAnsi="Arial" w:cs="Arial"/>
          <w:sz w:val="20"/>
        </w:rPr>
        <w:t xml:space="preserve"> by the GDPR, when responding to an inquiry from </w:t>
      </w:r>
      <w:r>
        <w:rPr>
          <w:rFonts w:ascii="Arial" w:eastAsia="Arial Unicode MS" w:hAnsi="Arial" w:cs="Arial"/>
          <w:sz w:val="20"/>
        </w:rPr>
        <w:lastRenderedPageBreak/>
        <w:t xml:space="preserve">a data subject, as that term is defined by the GDPR.  Such information </w:t>
      </w:r>
      <w:proofErr w:type="gramStart"/>
      <w:r>
        <w:rPr>
          <w:rFonts w:ascii="Arial" w:eastAsia="Arial Unicode MS" w:hAnsi="Arial" w:cs="Arial"/>
          <w:sz w:val="20"/>
        </w:rPr>
        <w:t>shall be provided</w:t>
      </w:r>
      <w:proofErr w:type="gramEnd"/>
      <w:r>
        <w:rPr>
          <w:rFonts w:ascii="Arial" w:eastAsia="Arial Unicode MS" w:hAnsi="Arial" w:cs="Arial"/>
          <w:sz w:val="20"/>
        </w:rPr>
        <w:t xml:space="preserve">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w:t>
      </w:r>
      <w:proofErr w:type="gramStart"/>
      <w:r w:rsidRPr="008A78C4">
        <w:rPr>
          <w:rFonts w:ascii="Arial" w:hAnsi="Arial" w:cs="Arial"/>
          <w:sz w:val="20"/>
        </w:rPr>
        <w:t>security which</w:t>
      </w:r>
      <w:proofErr w:type="gramEnd"/>
      <w:r w:rsidRPr="008A78C4">
        <w:rPr>
          <w:rFonts w:ascii="Arial" w:hAnsi="Arial" w:cs="Arial"/>
          <w:sz w:val="20"/>
        </w:rPr>
        <w:t xml:space="preserve">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“Personal Information” means </w:t>
      </w:r>
      <w:proofErr w:type="gramStart"/>
      <w:r w:rsidRPr="008A78C4">
        <w:rPr>
          <w:rFonts w:ascii="Arial" w:hAnsi="Arial" w:cs="Arial"/>
          <w:sz w:val="20"/>
        </w:rPr>
        <w:t>any and all</w:t>
      </w:r>
      <w:proofErr w:type="gramEnd"/>
      <w:r w:rsidRPr="008A78C4">
        <w:rPr>
          <w:rFonts w:ascii="Arial" w:hAnsi="Arial" w:cs="Arial"/>
          <w:sz w:val="20"/>
        </w:rPr>
        <w:t xml:space="preserve"> data obtained directly from an individual or included in University Records (regardless of format) that (i) identifies or can be used to identify, contact or locate a natural person, or (ii) pertains in any way to an identified natural person. </w:t>
      </w:r>
      <w:proofErr w:type="gramStart"/>
      <w:r w:rsidRPr="008A78C4">
        <w:rPr>
          <w:rFonts w:ascii="Arial" w:hAnsi="Arial" w:cs="Arial"/>
          <w:sz w:val="20"/>
        </w:rPr>
        <w:t>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roofErr w:type="gramEnd"/>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w:t>
      </w:r>
      <w:proofErr w:type="gramStart"/>
      <w:r w:rsidRPr="008A78C4">
        <w:rPr>
          <w:rFonts w:ascii="Arial" w:hAnsi="Arial" w:cs="Arial"/>
          <w:sz w:val="20"/>
        </w:rPr>
        <w:t>has been classified</w:t>
      </w:r>
      <w:proofErr w:type="gramEnd"/>
      <w:r w:rsidRPr="008A78C4">
        <w:rPr>
          <w:rFonts w:ascii="Arial" w:hAnsi="Arial" w:cs="Arial"/>
          <w:sz w:val="20"/>
        </w:rPr>
        <w:t xml:space="preserve"> by law or by University policy as deserving additional privacy and security protections. </w:t>
      </w:r>
      <w:proofErr w:type="gramStart"/>
      <w:r w:rsidRPr="008A78C4">
        <w:rPr>
          <w:rFonts w:ascii="Arial" w:hAnsi="Arial" w:cs="Arial"/>
          <w:sz w:val="20"/>
        </w:rPr>
        <w:t xml:space="preserve">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w:t>
      </w:r>
      <w:r w:rsidRPr="008A78C4">
        <w:rPr>
          <w:rFonts w:ascii="Arial" w:hAnsi="Arial" w:cs="Arial"/>
          <w:sz w:val="20"/>
        </w:rPr>
        <w:lastRenderedPageBreak/>
        <w:t>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“Services” means </w:t>
      </w:r>
      <w:proofErr w:type="gramStart"/>
      <w:r w:rsidRPr="008A78C4">
        <w:rPr>
          <w:rFonts w:ascii="Arial" w:hAnsi="Arial" w:cs="Arial"/>
          <w:sz w:val="20"/>
        </w:rPr>
        <w:t>any and all</w:t>
      </w:r>
      <w:proofErr w:type="gramEnd"/>
      <w:r w:rsidRPr="008A78C4">
        <w:rPr>
          <w:rFonts w:ascii="Arial" w:hAnsi="Arial" w:cs="Arial"/>
          <w:sz w:val="20"/>
        </w:rPr>
        <w:t xml:space="preserve">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proofErr w:type="gramStart"/>
      <w:r w:rsidRPr="008A78C4">
        <w:rPr>
          <w:rFonts w:ascii="Arial" w:hAnsi="Arial" w:cs="Arial"/>
          <w:sz w:val="20"/>
        </w:rPr>
        <w:t>if</w:t>
      </w:r>
      <w:proofErr w:type="gramEnd"/>
      <w:r w:rsidRPr="008A78C4">
        <w:rPr>
          <w:rFonts w:ascii="Arial" w:hAnsi="Arial" w:cs="Arial"/>
          <w:sz w:val="20"/>
        </w:rPr>
        <w:t xml:space="preserve">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t>
      </w:r>
      <w:proofErr w:type="gramStart"/>
      <w:r w:rsidRPr="008A78C4">
        <w:rPr>
          <w:rFonts w:ascii="Arial" w:hAnsi="Arial" w:cs="Arial"/>
          <w:sz w:val="20"/>
        </w:rPr>
        <w:t>will be reviewed</w:t>
      </w:r>
      <w:proofErr w:type="gramEnd"/>
      <w:r w:rsidRPr="008A78C4">
        <w:rPr>
          <w:rFonts w:ascii="Arial" w:hAnsi="Arial" w:cs="Arial"/>
          <w:sz w:val="20"/>
        </w:rPr>
        <w:t xml:space="preserve"> by University before Contractor begins providing any Services set forth in the Underlying Agreement. The notice must comply with any legal requirements for the privacy notice in the jurisdictions where it is given, </w:t>
      </w:r>
      <w:proofErr w:type="gramStart"/>
      <w:r w:rsidRPr="008A78C4">
        <w:rPr>
          <w:rFonts w:ascii="Arial" w:hAnsi="Arial" w:cs="Arial"/>
          <w:sz w:val="20"/>
        </w:rPr>
        <w:t>be translated</w:t>
      </w:r>
      <w:proofErr w:type="gramEnd"/>
      <w:r w:rsidRPr="008A78C4">
        <w:rPr>
          <w:rFonts w:ascii="Arial" w:hAnsi="Arial" w:cs="Arial"/>
          <w:sz w:val="20"/>
        </w:rPr>
        <w:t xml:space="preserve"> into the languages used in connection with Contractor’s interaction with the individuals, and </w:t>
      </w:r>
      <w:r w:rsidRPr="008A78C4">
        <w:rPr>
          <w:rFonts w:ascii="Arial" w:hAnsi="Arial" w:cs="Arial"/>
          <w:sz w:val="20"/>
        </w:rPr>
        <w:lastRenderedPageBreak/>
        <w:t xml:space="preserve">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proofErr w:type="gramStart"/>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w:t>
      </w:r>
      <w:proofErr w:type="gramEnd"/>
      <w:r w:rsidRPr="008A78C4">
        <w:rPr>
          <w:rFonts w:ascii="Arial" w:hAnsi="Arial" w:cs="Arial"/>
          <w:sz w:val="20"/>
        </w:rPr>
        <w:t xml:space="preserve">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w:t>
      </w:r>
      <w:proofErr w:type="gramStart"/>
      <w:r w:rsidRPr="008A78C4">
        <w:rPr>
          <w:rFonts w:ascii="Arial" w:hAnsi="Arial" w:cs="Arial"/>
          <w:sz w:val="20"/>
        </w:rPr>
        <w:t>is considered</w:t>
      </w:r>
      <w:proofErr w:type="gramEnd"/>
      <w:r w:rsidRPr="008A78C4">
        <w:rPr>
          <w:rFonts w:ascii="Arial" w:hAnsi="Arial" w:cs="Arial"/>
          <w:sz w:val="20"/>
        </w:rPr>
        <w:t xml:space="preserve">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w:t>
      </w:r>
      <w:proofErr w:type="gramStart"/>
      <w:r w:rsidRPr="008A78C4">
        <w:rPr>
          <w:rFonts w:ascii="Arial" w:hAnsi="Arial" w:cs="Arial"/>
          <w:sz w:val="20"/>
        </w:rPr>
        <w:t>are imposed</w:t>
      </w:r>
      <w:proofErr w:type="gramEnd"/>
      <w:r w:rsidRPr="008A78C4">
        <w:rPr>
          <w:rFonts w:ascii="Arial" w:hAnsi="Arial" w:cs="Arial"/>
          <w:sz w:val="20"/>
        </w:rPr>
        <w:t xml:space="preserve">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roofErr w:type="gramEnd"/>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Contractor has implemented and will maintain documented appropriate business continuity</w:t>
      </w:r>
      <w:proofErr w:type="gramEnd"/>
      <w:r w:rsidRPr="008A78C4">
        <w:rPr>
          <w:rFonts w:ascii="Arial" w:hAnsi="Arial" w:cs="Arial"/>
          <w:sz w:val="20"/>
        </w:rPr>
        <w:t xml:space="preserve">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w:t>
      </w:r>
      <w:r w:rsidRPr="008A78C4">
        <w:rPr>
          <w:rFonts w:ascii="Arial" w:hAnsi="Arial" w:cs="Arial"/>
          <w:sz w:val="20"/>
        </w:rPr>
        <w:lastRenderedPageBreak/>
        <w:t xml:space="preserve">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within 24 hours after discovery, will report to University any use or disclosure of Personal Information not authorized by this Addendum or the Underlying Agreement. </w:t>
      </w:r>
      <w:proofErr w:type="gramStart"/>
      <w:r w:rsidRPr="008A78C4">
        <w:rPr>
          <w:rFonts w:ascii="Arial" w:hAnsi="Arial" w:cs="Arial"/>
          <w:sz w:val="20"/>
        </w:rPr>
        <w:t>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w:t>
      </w:r>
      <w:proofErr w:type="gramEnd"/>
      <w:r w:rsidRPr="008A78C4">
        <w:rPr>
          <w:rFonts w:ascii="Arial" w:hAnsi="Arial" w:cs="Arial"/>
          <w:sz w:val="20"/>
        </w:rPr>
        <w:t xml:space="preserv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proofErr w:type="gramStart"/>
      <w:r w:rsidRPr="008A78C4">
        <w:rPr>
          <w:rFonts w:ascii="Arial" w:hAnsi="Arial" w:cs="Arial"/>
          <w:sz w:val="20"/>
        </w:rPr>
        <w:t>mutually-agreeable</w:t>
      </w:r>
      <w:proofErr w:type="gramEnd"/>
      <w:r w:rsidRPr="008A78C4">
        <w:rPr>
          <w:rFonts w:ascii="Arial" w:hAnsi="Arial" w:cs="Arial"/>
          <w:sz w:val="20"/>
        </w:rPr>
        <w:t xml:space="preserv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proofErr w:type="gramStart"/>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roofErr w:type="gramEnd"/>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w:t>
      </w:r>
      <w:proofErr w:type="gramStart"/>
      <w:r w:rsidRPr="008A78C4">
        <w:rPr>
          <w:rFonts w:ascii="Arial" w:hAnsi="Arial" w:cs="Arial"/>
          <w:bCs/>
          <w:sz w:val="20"/>
        </w:rPr>
        <w:t>is governed</w:t>
      </w:r>
      <w:proofErr w:type="gramEnd"/>
      <w:r w:rsidRPr="008A78C4">
        <w:rPr>
          <w:rFonts w:ascii="Arial" w:hAnsi="Arial" w:cs="Arial"/>
          <w:bCs/>
          <w:sz w:val="20"/>
        </w:rPr>
        <w:t xml:space="preserve">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w:t>
      </w:r>
      <w:proofErr w:type="gramStart"/>
      <w:r w:rsidRPr="008A78C4">
        <w:rPr>
          <w:rFonts w:ascii="Arial" w:hAnsi="Arial" w:cs="Arial"/>
          <w:bCs/>
          <w:sz w:val="20"/>
        </w:rPr>
        <w:t>be given</w:t>
      </w:r>
      <w:proofErr w:type="gramEnd"/>
      <w:r w:rsidRPr="008A78C4">
        <w:rPr>
          <w:rFonts w:ascii="Arial" w:hAnsi="Arial" w:cs="Arial"/>
          <w:bCs/>
          <w:sz w:val="20"/>
        </w:rPr>
        <w:t xml:space="preserve">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The applicable U.T. Institution(s</w:t>
      </w:r>
      <w:proofErr w:type="gramStart"/>
      <w:r w:rsidRPr="008A78C4">
        <w:rPr>
          <w:rFonts w:ascii="Arial" w:hAnsi="Arial" w:cs="Arial"/>
          <w:bCs/>
          <w:sz w:val="20"/>
        </w:rPr>
        <w:t>)’s</w:t>
      </w:r>
      <w:proofErr w:type="gramEnd"/>
      <w:r w:rsidRPr="008A78C4">
        <w:rPr>
          <w:rFonts w:ascii="Arial" w:hAnsi="Arial" w:cs="Arial"/>
          <w:bCs/>
          <w:sz w:val="20"/>
        </w:rPr>
        <w:t xml:space="preserve">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Office of </w:t>
      </w:r>
      <w:proofErr w:type="spellStart"/>
      <w:r w:rsidRPr="008A78C4">
        <w:rPr>
          <w:rFonts w:ascii="Arial" w:hAnsi="Arial" w:cs="Arial"/>
          <w:bCs/>
          <w:sz w:val="20"/>
        </w:rPr>
        <w:t>Systemwide</w:t>
      </w:r>
      <w:proofErr w:type="spellEnd"/>
      <w:r w:rsidRPr="008A78C4">
        <w:rPr>
          <w:rFonts w:ascii="Arial" w:hAnsi="Arial" w:cs="Arial"/>
          <w:bCs/>
          <w:sz w:val="20"/>
        </w:rPr>
        <w:t xml:space="preserv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lastRenderedPageBreak/>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proofErr w:type="gramStart"/>
      <w:r w:rsidR="000F6DF5">
        <w:rPr>
          <w:rFonts w:ascii="Arial" w:hAnsi="Arial" w:cs="Arial"/>
          <w:sz w:val="20"/>
        </w:rPr>
        <w:t>B</w:t>
      </w:r>
      <w:r w:rsidRPr="008A78C4">
        <w:rPr>
          <w:rFonts w:ascii="Arial" w:hAnsi="Arial" w:cs="Arial"/>
          <w:sz w:val="20"/>
        </w:rPr>
        <w:t>y</w:t>
      </w:r>
      <w:proofErr w:type="gramEnd"/>
      <w:r w:rsidRPr="008A78C4">
        <w:rPr>
          <w:rFonts w:ascii="Arial" w:hAnsi="Arial" w:cs="Arial"/>
          <w:sz w:val="20"/>
        </w:rPr>
        <w:t>: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1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C7F0C" w14:textId="77777777" w:rsidR="00997524" w:rsidRDefault="00997524">
      <w:pPr>
        <w:spacing w:line="20" w:lineRule="exact"/>
      </w:pPr>
    </w:p>
  </w:endnote>
  <w:endnote w:type="continuationSeparator" w:id="0">
    <w:p w14:paraId="614934EB" w14:textId="77777777" w:rsidR="00997524" w:rsidRDefault="00997524">
      <w:r>
        <w:t xml:space="preserve"> </w:t>
      </w:r>
    </w:p>
  </w:endnote>
  <w:endnote w:type="continuationNotice" w:id="1">
    <w:p w14:paraId="5C24D9CA" w14:textId="77777777" w:rsidR="00997524" w:rsidRDefault="009975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B8C6A" w14:textId="77777777" w:rsidR="00997524" w:rsidRDefault="00997524">
      <w:r>
        <w:separator/>
      </w:r>
    </w:p>
  </w:footnote>
  <w:footnote w:type="continuationSeparator" w:id="0">
    <w:p w14:paraId="342B0098" w14:textId="77777777" w:rsidR="00997524" w:rsidRDefault="00997524">
      <w:r>
        <w:continuationSeparator/>
      </w:r>
    </w:p>
  </w:footnote>
  <w:footnote w:type="continuationNotice" w:id="1">
    <w:p w14:paraId="75FFCA3D" w14:textId="77777777" w:rsidR="00997524" w:rsidRDefault="009975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3DDA"/>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24"/>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1872"/>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21081</Words>
  <Characters>120163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Thornton, Chevonne E</cp:lastModifiedBy>
  <cp:revision>2</cp:revision>
  <cp:lastPrinted>2018-06-06T20:19:00Z</cp:lastPrinted>
  <dcterms:created xsi:type="dcterms:W3CDTF">2018-10-08T20:52:00Z</dcterms:created>
  <dcterms:modified xsi:type="dcterms:W3CDTF">2018-10-08T20:52:00Z</dcterms:modified>
</cp:coreProperties>
</file>